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DISTRITO DE </w:t>
      </w:r>
      <w:r w:rsidDel="00000000" w:rsidR="00000000" w:rsidRPr="00000000">
        <w:rPr>
          <w:b w:val="1"/>
          <w:rtl w:val="0"/>
        </w:rPr>
        <w:t xml:space="preserve">MORRIS HILLS REGIONAL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I PACTO ESCUELA-PADRES - Septiembre de 2021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Responsabilidades de la escuela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Morris Hills hará lo siguiente: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Llevar a cabo conferencias de padres y maestros según sea necesario durante las cuales se discutirá este pacto en lo que se refiere al rendimiento individual del niño. Se hará todo lo posible para programar la conferencia a una hora que sea conveniente para ambos padres y maestros.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Proporcionar a los padres informes frecuentes sobre el progreso de sus hijos. Específicamente, la escuela proporcionará informes en línea a través de Aspen, así como boletas de calificaciones cada período de calificaciones. Se contactará a los padres de manera oportuna si un estudiante está en peligro de reprobar.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Proporcionar a los padres un acceso razonable al personal. Específicamente, el personal estará disponible, si los horarios individuales lo permiten, para consultar con los padres antes, durante o después de la escuela si las citas se programan con anticipación.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5. Brindar a los padres la oportunidad de ofrecerse como voluntarios y participar en la clase de su hijo, y de observar las actividades del aula de forma continua o con cita previa.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Responsabilidades de los padres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Nosotros como padres apoyaremos el aprendizaje de nuestros hijos de las siguiente maneras: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Monitorear la asistencia.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Asegúrese de que la tarea este completa.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Participar en las decisiones relacionadas con la educación de mis hijos.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Promover el uso positivo del tiempo extracurricular de mi hijo.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Mantenerme informado sobre la educación de mi hijo y comunicarme con la escuela de inmediato, leer todos los avisos de la escuela o del distrito escolar que reciba mi hijo o por correo, y responder,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Servir de lo posible en grupos asesores de polísas, como Goals 2020, el Comité Ase sor de Programación de NCLB u otros grupos asesores o de polísas escolares.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Las aportaciones de los padres sobre este pacto son siempre bienvenidas. Las sugerencias y comentarios se pueden enviar por correo electrónico 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nzoeller@mhrd.org</w:t>
        </w:r>
      </w:hyperlink>
      <w:r w:rsidDel="00000000" w:rsidR="00000000" w:rsidRPr="00000000">
        <w:rPr>
          <w:rtl w:val="0"/>
        </w:rPr>
        <w:t xml:space="preserve">.  </w:t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32F6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zoeller@mh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63gzRNMOE4KyO7e3feOC1EEng==">AMUW2mW8BK3IXemJtBj+LTCXM+E7jsBckRsykbhH5NCRJ6BMdKpz0eSJLkPSwvyy2JIkYhq/cNVrD4rNGC4uU0AJMX6QgvL/WYx2DqLx/tUsUUu/VLFacVyYB2fQIXpp6eHZwHaJM6T6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2021-09-15T13:57:00Z</dcterms:created>
  <dc:creator>fippolito</dc:creator>
</cp:coreProperties>
</file>